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ACCE" w14:textId="77777777" w:rsidR="001D4C6C" w:rsidRPr="001D4C6C" w:rsidRDefault="001D4C6C" w:rsidP="001D4C6C">
      <w:pPr>
        <w:tabs>
          <w:tab w:val="left" w:pos="7680"/>
        </w:tabs>
        <w:spacing w:after="0" w:line="240" w:lineRule="auto"/>
        <w:ind w:right="191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1D4C6C">
        <w:rPr>
          <w:rFonts w:ascii="Arial" w:eastAsia="Times New Roman" w:hAnsi="Arial" w:cs="Arial"/>
          <w:b/>
          <w:sz w:val="24"/>
          <w:szCs w:val="24"/>
          <w:lang w:eastAsia="es-MX"/>
        </w:rPr>
        <w:t>QUINTA SALA ESPECIALIZADA EN RESPONSABILIDADES ADMINISTRATIVAS, DEL TRIBUNAL DE JUSTICIA ADMINISTRATIVA DEL ESTADO DE MORELOS.</w:t>
      </w:r>
    </w:p>
    <w:p w14:paraId="517225D7" w14:textId="77777777" w:rsidR="001D4C6C" w:rsidRPr="001D4C6C" w:rsidRDefault="001D4C6C" w:rsidP="001D4C6C">
      <w:pPr>
        <w:tabs>
          <w:tab w:val="left" w:pos="7680"/>
        </w:tabs>
        <w:spacing w:after="0" w:line="240" w:lineRule="auto"/>
        <w:ind w:right="191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3227C21" w14:textId="77777777" w:rsidR="001D4C6C" w:rsidRPr="001D4C6C" w:rsidRDefault="001D4C6C" w:rsidP="001D4C6C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1D4C6C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MAGISTRADO PONENTE: JOAQUÍN ROQUE GONZÁLEZ CEREZO </w:t>
      </w:r>
    </w:p>
    <w:p w14:paraId="7D00BB5A" w14:textId="77777777" w:rsidR="001D4C6C" w:rsidRPr="001D4C6C" w:rsidRDefault="001D4C6C" w:rsidP="001D4C6C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02062D5" w14:textId="77777777" w:rsidR="001D4C6C" w:rsidRPr="001D4C6C" w:rsidRDefault="001D4C6C" w:rsidP="001D4C6C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1D4C6C">
        <w:rPr>
          <w:rFonts w:ascii="Arial" w:eastAsia="Times New Roman" w:hAnsi="Arial" w:cs="Arial"/>
          <w:b/>
          <w:sz w:val="24"/>
          <w:szCs w:val="24"/>
          <w:lang w:eastAsia="es-MX"/>
        </w:rPr>
        <w:t>“LISTA”</w:t>
      </w:r>
    </w:p>
    <w:p w14:paraId="157C5807" w14:textId="77777777" w:rsidR="001D4C6C" w:rsidRPr="001D4C6C" w:rsidRDefault="001D4C6C" w:rsidP="001D4C6C">
      <w:pPr>
        <w:tabs>
          <w:tab w:val="left" w:pos="7680"/>
        </w:tabs>
        <w:spacing w:after="0" w:line="240" w:lineRule="auto"/>
        <w:ind w:left="284" w:right="191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E49C56E" w14:textId="77777777" w:rsidR="001D4C6C" w:rsidRPr="001D4C6C" w:rsidRDefault="001D4C6C" w:rsidP="001D4C6C">
      <w:pPr>
        <w:tabs>
          <w:tab w:val="left" w:pos="7680"/>
        </w:tabs>
        <w:spacing w:after="0" w:line="240" w:lineRule="auto"/>
        <w:ind w:left="284" w:right="1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D4C6C">
        <w:rPr>
          <w:rFonts w:ascii="Arial" w:eastAsia="Times New Roman" w:hAnsi="Arial" w:cs="Arial"/>
          <w:sz w:val="24"/>
          <w:szCs w:val="24"/>
          <w:lang w:eastAsia="es-MX"/>
        </w:rPr>
        <w:t>La presente publicación se realiza con fundamento en lo dispuesto por los artículos 3 bis, 25 y 30 apartado A), fracciones I, II y III de la ley orgánica del tribunal de justicia administrativa del estado de Morelos, 24</w:t>
      </w:r>
      <w:r w:rsidRPr="001D4C6C">
        <w:rPr>
          <w:rFonts w:ascii="Arial" w:eastAsia="Times New Roman" w:hAnsi="Arial" w:cs="Arial"/>
          <w:sz w:val="24"/>
          <w:szCs w:val="24"/>
          <w:vertAlign w:val="superscript"/>
          <w:lang w:eastAsia="es-MX"/>
        </w:rPr>
        <w:footnoteReference w:id="1"/>
      </w:r>
      <w:r w:rsidRPr="001D4C6C">
        <w:rPr>
          <w:rFonts w:ascii="Arial" w:eastAsia="Times New Roman" w:hAnsi="Arial" w:cs="Arial"/>
          <w:sz w:val="24"/>
          <w:szCs w:val="24"/>
          <w:lang w:eastAsia="es-MX"/>
        </w:rPr>
        <w:t xml:space="preserve"> de la Ley de Justicia Administrativa del Estado de Morelos, publicados en el periódico oficial “tierra y libertad” número 5629 de fecha treinta y uno de agosto del año dos mil dieciocho, así como de conformidad con los artículos 188 y 190 de la </w:t>
      </w:r>
      <w:r w:rsidRPr="001D4C6C">
        <w:rPr>
          <w:rFonts w:ascii="Arial" w:eastAsia="Times New Roman" w:hAnsi="Arial" w:cs="Arial"/>
          <w:bCs/>
          <w:sz w:val="24"/>
          <w:szCs w:val="24"/>
          <w:lang w:eastAsia="es-MX"/>
        </w:rPr>
        <w:t>Ley General de Responsabilidades Administrativas en relación con los numerales 66</w:t>
      </w:r>
      <w:r w:rsidRPr="001D4C6C">
        <w:rPr>
          <w:rFonts w:ascii="Arial" w:eastAsia="Times New Roman" w:hAnsi="Arial" w:cs="Arial"/>
          <w:bCs/>
          <w:sz w:val="24"/>
          <w:szCs w:val="24"/>
          <w:vertAlign w:val="superscript"/>
          <w:lang w:eastAsia="es-MX"/>
        </w:rPr>
        <w:footnoteReference w:id="2"/>
      </w:r>
      <w:r w:rsidRPr="001D4C6C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1D4C6C">
        <w:rPr>
          <w:rFonts w:ascii="Arial" w:eastAsia="Times New Roman" w:hAnsi="Arial" w:cs="Arial"/>
          <w:bCs/>
          <w:sz w:val="24"/>
          <w:szCs w:val="24"/>
          <w:lang w:eastAsia="es-MX"/>
        </w:rPr>
        <w:t>y 67</w:t>
      </w:r>
      <w:r w:rsidRPr="001D4C6C">
        <w:rPr>
          <w:rFonts w:ascii="Arial" w:eastAsia="Times New Roman" w:hAnsi="Arial" w:cs="Arial"/>
          <w:bCs/>
          <w:sz w:val="24"/>
          <w:szCs w:val="24"/>
          <w:vertAlign w:val="superscript"/>
          <w:lang w:eastAsia="es-MX"/>
        </w:rPr>
        <w:footnoteReference w:id="3"/>
      </w:r>
      <w:r w:rsidRPr="001D4C6C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Ley Federal de Procedimiento Contencioso Administrativo.</w:t>
      </w:r>
    </w:p>
    <w:p w14:paraId="4F27F257" w14:textId="77777777" w:rsidR="001D4C6C" w:rsidRPr="001D4C6C" w:rsidRDefault="001D4C6C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sz w:val="23"/>
          <w:szCs w:val="23"/>
          <w:u w:val="single"/>
          <w:lang w:eastAsia="es-MX"/>
        </w:rPr>
      </w:pPr>
    </w:p>
    <w:p w14:paraId="4A88C43A" w14:textId="77777777" w:rsidR="001D4C6C" w:rsidRDefault="001D4C6C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3"/>
          <w:u w:val="single"/>
          <w:lang w:eastAsia="es-MX"/>
        </w:rPr>
      </w:pPr>
    </w:p>
    <w:p w14:paraId="7BDCCFFD" w14:textId="77777777" w:rsidR="001D4C6C" w:rsidRPr="001D4C6C" w:rsidRDefault="001D4C6C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3"/>
          <w:u w:val="single"/>
          <w:lang w:eastAsia="es-MX"/>
        </w:rPr>
      </w:pPr>
      <w:r w:rsidRPr="001D4C6C">
        <w:rPr>
          <w:rFonts w:ascii="Arial" w:eastAsia="Times New Roman" w:hAnsi="Arial" w:cs="Arial"/>
          <w:b/>
          <w:sz w:val="24"/>
          <w:szCs w:val="23"/>
          <w:u w:val="single"/>
          <w:lang w:eastAsia="es-MX"/>
        </w:rPr>
        <w:t>VISTOS:</w:t>
      </w:r>
    </w:p>
    <w:p w14:paraId="612424D4" w14:textId="77777777" w:rsidR="001D4C6C" w:rsidRDefault="001D4C6C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szCs w:val="21"/>
          <w:lang w:eastAsia="es-MX"/>
        </w:rPr>
      </w:pPr>
    </w:p>
    <w:p w14:paraId="42A5C609" w14:textId="77777777" w:rsidR="001D4C6C" w:rsidRPr="001D4C6C" w:rsidRDefault="001D4C6C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szCs w:val="21"/>
          <w:lang w:eastAsia="es-MX"/>
        </w:rPr>
      </w:pPr>
    </w:p>
    <w:p w14:paraId="6CAB2C1F" w14:textId="79A45DC2" w:rsidR="001D4C6C" w:rsidRPr="001D4C6C" w:rsidRDefault="003D5979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1"/>
          <w:lang w:eastAsia="es-MX"/>
        </w:rPr>
      </w:pPr>
      <w:r>
        <w:rPr>
          <w:noProof/>
        </w:rPr>
        <w:drawing>
          <wp:inline distT="0" distB="0" distL="0" distR="0" wp14:anchorId="31ADD922" wp14:editId="3C899090">
            <wp:extent cx="5654163" cy="3087445"/>
            <wp:effectExtent l="0" t="0" r="3810" b="0"/>
            <wp:docPr id="11300907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090763" name=""/>
                    <pic:cNvPicPr/>
                  </pic:nvPicPr>
                  <pic:blipFill rotWithShape="1">
                    <a:blip r:embed="rId6"/>
                    <a:srcRect l="22795" t="37083" r="23194" b="22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680" cy="311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C88DD4" w14:textId="77777777" w:rsidR="001D4C6C" w:rsidRDefault="001D4C6C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sz w:val="24"/>
          <w:szCs w:val="23"/>
          <w:lang w:eastAsia="es-MX"/>
        </w:rPr>
      </w:pPr>
    </w:p>
    <w:p w14:paraId="11F605DD" w14:textId="77777777" w:rsidR="001D4C6C" w:rsidRDefault="001D4C6C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</w:pPr>
    </w:p>
    <w:p w14:paraId="264BAEE7" w14:textId="77777777" w:rsidR="001D4C6C" w:rsidRDefault="001D4C6C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</w:pPr>
    </w:p>
    <w:p w14:paraId="40818F90" w14:textId="77777777" w:rsidR="001D4C6C" w:rsidRDefault="001D4C6C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</w:pPr>
    </w:p>
    <w:p w14:paraId="456D5144" w14:textId="77777777" w:rsidR="001D4C6C" w:rsidRPr="001D4C6C" w:rsidRDefault="001D4C6C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</w:pPr>
      <w:r w:rsidRPr="001D4C6C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 xml:space="preserve">FOLIOS: </w:t>
      </w:r>
    </w:p>
    <w:p w14:paraId="0DD38243" w14:textId="77777777" w:rsidR="001D4C6C" w:rsidRDefault="001D4C6C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sz w:val="24"/>
          <w:szCs w:val="23"/>
          <w:lang w:eastAsia="es-MX"/>
        </w:rPr>
      </w:pPr>
    </w:p>
    <w:p w14:paraId="0638EEAE" w14:textId="77777777" w:rsidR="001D4C6C" w:rsidRDefault="001D4C6C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sz w:val="24"/>
          <w:szCs w:val="23"/>
          <w:lang w:eastAsia="es-MX"/>
        </w:rPr>
      </w:pPr>
    </w:p>
    <w:p w14:paraId="51292E60" w14:textId="6335AF83" w:rsidR="001D4C6C" w:rsidRDefault="003D5979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3"/>
          <w:lang w:eastAsia="es-MX"/>
        </w:rPr>
      </w:pPr>
      <w:r>
        <w:rPr>
          <w:noProof/>
        </w:rPr>
        <w:drawing>
          <wp:inline distT="0" distB="0" distL="0" distR="0" wp14:anchorId="1D9B17B9" wp14:editId="124B70D5">
            <wp:extent cx="5799777" cy="3539266"/>
            <wp:effectExtent l="0" t="0" r="0" b="4445"/>
            <wp:docPr id="2753530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53032" name=""/>
                    <pic:cNvPicPr/>
                  </pic:nvPicPr>
                  <pic:blipFill rotWithShape="1">
                    <a:blip r:embed="rId7"/>
                    <a:srcRect l="23370" t="36780" r="22812" b="19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881" cy="3562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E4F650" w14:textId="77777777" w:rsidR="001D4C6C" w:rsidRDefault="001D4C6C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sz w:val="24"/>
          <w:szCs w:val="23"/>
          <w:lang w:eastAsia="es-MX"/>
        </w:rPr>
      </w:pPr>
    </w:p>
    <w:p w14:paraId="6D3CB411" w14:textId="77777777" w:rsidR="003D5979" w:rsidRPr="001D4C6C" w:rsidRDefault="003D5979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sz w:val="24"/>
          <w:szCs w:val="23"/>
          <w:lang w:eastAsia="es-MX"/>
        </w:rPr>
      </w:pPr>
    </w:p>
    <w:p w14:paraId="7285144E" w14:textId="4609219A" w:rsidR="001D4C6C" w:rsidRPr="001D4C6C" w:rsidRDefault="001D4C6C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3"/>
          <w:lang w:eastAsia="es-MX"/>
        </w:rPr>
      </w:pPr>
      <w:r w:rsidRPr="001D4C6C">
        <w:rPr>
          <w:rFonts w:ascii="Arial" w:eastAsia="Times New Roman" w:hAnsi="Arial" w:cs="Arial"/>
          <w:b/>
          <w:sz w:val="24"/>
          <w:szCs w:val="23"/>
          <w:lang w:eastAsia="es-MX"/>
        </w:rPr>
        <w:t xml:space="preserve">CUERNAVACA, MORELOS A </w:t>
      </w:r>
      <w:r w:rsidR="003D5979">
        <w:rPr>
          <w:rFonts w:ascii="Arial" w:eastAsia="Times New Roman" w:hAnsi="Arial" w:cs="Arial"/>
          <w:b/>
          <w:sz w:val="24"/>
          <w:szCs w:val="23"/>
          <w:lang w:eastAsia="es-MX"/>
        </w:rPr>
        <w:t>VEINTIOCHO</w:t>
      </w:r>
      <w:r>
        <w:rPr>
          <w:rFonts w:ascii="Arial" w:eastAsia="Times New Roman" w:hAnsi="Arial" w:cs="Arial"/>
          <w:b/>
          <w:sz w:val="24"/>
          <w:szCs w:val="23"/>
          <w:lang w:eastAsia="es-MX"/>
        </w:rPr>
        <w:t xml:space="preserve"> DE </w:t>
      </w:r>
      <w:r w:rsidR="003D5979">
        <w:rPr>
          <w:rFonts w:ascii="Arial" w:eastAsia="Times New Roman" w:hAnsi="Arial" w:cs="Arial"/>
          <w:b/>
          <w:sz w:val="24"/>
          <w:szCs w:val="23"/>
          <w:lang w:eastAsia="es-MX"/>
        </w:rPr>
        <w:t>AGOST</w:t>
      </w:r>
      <w:r>
        <w:rPr>
          <w:rFonts w:ascii="Arial" w:eastAsia="Times New Roman" w:hAnsi="Arial" w:cs="Arial"/>
          <w:b/>
          <w:sz w:val="24"/>
          <w:szCs w:val="23"/>
          <w:lang w:eastAsia="es-MX"/>
        </w:rPr>
        <w:t>O</w:t>
      </w:r>
      <w:r w:rsidRPr="001D4C6C">
        <w:rPr>
          <w:rFonts w:ascii="Arial" w:eastAsia="Times New Roman" w:hAnsi="Arial" w:cs="Arial"/>
          <w:b/>
          <w:sz w:val="24"/>
          <w:szCs w:val="23"/>
          <w:lang w:eastAsia="es-MX"/>
        </w:rPr>
        <w:t xml:space="preserve"> DE DOS MIL VEINTICINCO.</w:t>
      </w:r>
    </w:p>
    <w:p w14:paraId="65A3FF22" w14:textId="77777777" w:rsidR="003D5979" w:rsidRDefault="003D5979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sz w:val="24"/>
          <w:szCs w:val="23"/>
          <w:lang w:eastAsia="es-MX"/>
        </w:rPr>
      </w:pPr>
    </w:p>
    <w:p w14:paraId="3F570A45" w14:textId="77777777" w:rsidR="003D5979" w:rsidRPr="001D4C6C" w:rsidRDefault="003D5979" w:rsidP="001D4C6C">
      <w:pPr>
        <w:tabs>
          <w:tab w:val="center" w:pos="3853"/>
          <w:tab w:val="center" w:pos="4042"/>
          <w:tab w:val="left" w:pos="5520"/>
          <w:tab w:val="left" w:pos="7680"/>
          <w:tab w:val="right" w:pos="7706"/>
          <w:tab w:val="right" w:pos="8085"/>
        </w:tabs>
        <w:spacing w:after="0" w:line="240" w:lineRule="auto"/>
        <w:rPr>
          <w:rFonts w:ascii="Arial" w:eastAsia="Times New Roman" w:hAnsi="Arial" w:cs="Arial"/>
          <w:b/>
          <w:sz w:val="24"/>
          <w:szCs w:val="23"/>
          <w:lang w:eastAsia="es-MX"/>
        </w:rPr>
      </w:pPr>
    </w:p>
    <w:p w14:paraId="347158C2" w14:textId="77777777" w:rsidR="001D4C6C" w:rsidRPr="001D4C6C" w:rsidRDefault="001D4C6C" w:rsidP="001D4C6C">
      <w:pPr>
        <w:spacing w:after="0" w:line="240" w:lineRule="auto"/>
        <w:jc w:val="center"/>
        <w:rPr>
          <w:rFonts w:ascii="Arial" w:eastAsia="Batang" w:hAnsi="Arial" w:cs="Arial"/>
          <w:b/>
          <w:sz w:val="24"/>
          <w:szCs w:val="23"/>
          <w:lang w:eastAsia="es-MX"/>
        </w:rPr>
      </w:pPr>
      <w:r w:rsidRPr="001D4C6C">
        <w:rPr>
          <w:rFonts w:ascii="Arial" w:eastAsia="Times New Roman" w:hAnsi="Arial" w:cs="Arial"/>
          <w:b/>
          <w:sz w:val="24"/>
          <w:szCs w:val="23"/>
          <w:lang w:eastAsia="es-MX"/>
        </w:rPr>
        <w:t>SECRETARIO DE ACUERDOS EN MATERIA DE PROCEDIMIENTOS DE RESPONSABILIDADES ADMINISTRATIVAS, ADSCRITO A LA QUINTA SALA ESPECIALIZADA EN RESPONSABILIDADES ADMINISTRATIVAS.</w:t>
      </w:r>
    </w:p>
    <w:p w14:paraId="7B66E1C4" w14:textId="77777777" w:rsidR="001D4C6C" w:rsidRPr="001D4C6C" w:rsidRDefault="001D4C6C" w:rsidP="001D4C6C">
      <w:pPr>
        <w:spacing w:after="0" w:line="240" w:lineRule="auto"/>
        <w:jc w:val="center"/>
        <w:rPr>
          <w:rFonts w:ascii="Arial" w:eastAsia="Batang" w:hAnsi="Arial" w:cs="Arial"/>
          <w:b/>
          <w:sz w:val="24"/>
          <w:szCs w:val="23"/>
          <w:lang w:eastAsia="es-MX"/>
        </w:rPr>
      </w:pPr>
    </w:p>
    <w:p w14:paraId="34F00D7F" w14:textId="77777777" w:rsidR="001D4C6C" w:rsidRPr="001D4C6C" w:rsidRDefault="001D4C6C" w:rsidP="001D4C6C">
      <w:pPr>
        <w:spacing w:after="0" w:line="240" w:lineRule="auto"/>
        <w:rPr>
          <w:rFonts w:ascii="Arial" w:eastAsia="Batang" w:hAnsi="Arial" w:cs="Arial"/>
          <w:b/>
          <w:sz w:val="24"/>
          <w:szCs w:val="23"/>
          <w:lang w:eastAsia="es-MX"/>
        </w:rPr>
      </w:pPr>
    </w:p>
    <w:p w14:paraId="78428D30" w14:textId="77777777" w:rsidR="001D4C6C" w:rsidRPr="001D4C6C" w:rsidRDefault="001D4C6C" w:rsidP="001D4C6C">
      <w:pPr>
        <w:spacing w:after="0" w:line="240" w:lineRule="auto"/>
        <w:rPr>
          <w:rFonts w:ascii="Arial" w:eastAsia="Batang" w:hAnsi="Arial" w:cs="Arial"/>
          <w:b/>
          <w:sz w:val="24"/>
          <w:szCs w:val="23"/>
          <w:lang w:eastAsia="es-MX"/>
        </w:rPr>
      </w:pPr>
    </w:p>
    <w:p w14:paraId="2C2F524A" w14:textId="77777777" w:rsidR="001D4C6C" w:rsidRPr="001D4C6C" w:rsidRDefault="001D4C6C" w:rsidP="001D4C6C">
      <w:pPr>
        <w:spacing w:after="0" w:line="240" w:lineRule="auto"/>
        <w:rPr>
          <w:rFonts w:ascii="Arial" w:eastAsia="Batang" w:hAnsi="Arial" w:cs="Arial"/>
          <w:b/>
          <w:sz w:val="24"/>
          <w:szCs w:val="23"/>
          <w:lang w:eastAsia="es-MX"/>
        </w:rPr>
      </w:pPr>
    </w:p>
    <w:p w14:paraId="2E74B16F" w14:textId="77777777" w:rsidR="001D4C6C" w:rsidRPr="001D4C6C" w:rsidRDefault="001D4C6C" w:rsidP="001D4C6C">
      <w:pPr>
        <w:spacing w:after="0" w:line="240" w:lineRule="auto"/>
        <w:rPr>
          <w:rFonts w:ascii="Arial" w:eastAsia="Batang" w:hAnsi="Arial" w:cs="Arial"/>
          <w:b/>
          <w:sz w:val="24"/>
          <w:szCs w:val="23"/>
          <w:lang w:eastAsia="es-MX"/>
        </w:rPr>
      </w:pPr>
    </w:p>
    <w:p w14:paraId="4DC7ACEA" w14:textId="77777777" w:rsidR="00A02577" w:rsidRPr="001D4C6C" w:rsidRDefault="001D4C6C" w:rsidP="001D4C6C">
      <w:pPr>
        <w:spacing w:after="0" w:line="240" w:lineRule="auto"/>
        <w:jc w:val="center"/>
        <w:rPr>
          <w:rFonts w:ascii="Arial" w:eastAsia="Batang" w:hAnsi="Arial" w:cs="Arial"/>
          <w:b/>
          <w:sz w:val="24"/>
          <w:szCs w:val="23"/>
          <w:lang w:eastAsia="es-MX"/>
        </w:rPr>
      </w:pPr>
      <w:r w:rsidRPr="001D4C6C">
        <w:rPr>
          <w:rFonts w:ascii="Arial" w:eastAsia="Batang" w:hAnsi="Arial" w:cs="Arial"/>
          <w:b/>
          <w:sz w:val="24"/>
          <w:szCs w:val="23"/>
          <w:lang w:eastAsia="es-MX"/>
        </w:rPr>
        <w:t>BERNARDO ISRAEL ROJAS CASTILLO</w:t>
      </w:r>
    </w:p>
    <w:sectPr w:rsidR="00A02577" w:rsidRPr="001D4C6C" w:rsidSect="00B87B70">
      <w:headerReference w:type="default" r:id="rId8"/>
      <w:pgSz w:w="12247" w:h="19335" w:code="3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3BE5" w14:textId="77777777" w:rsidR="00F708E5" w:rsidRDefault="00F708E5" w:rsidP="001D4C6C">
      <w:pPr>
        <w:spacing w:after="0" w:line="240" w:lineRule="auto"/>
      </w:pPr>
      <w:r>
        <w:separator/>
      </w:r>
    </w:p>
  </w:endnote>
  <w:endnote w:type="continuationSeparator" w:id="0">
    <w:p w14:paraId="2A257B2E" w14:textId="77777777" w:rsidR="00F708E5" w:rsidRDefault="00F708E5" w:rsidP="001D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9607" w14:textId="77777777" w:rsidR="00F708E5" w:rsidRDefault="00F708E5" w:rsidP="001D4C6C">
      <w:pPr>
        <w:spacing w:after="0" w:line="240" w:lineRule="auto"/>
      </w:pPr>
      <w:r>
        <w:separator/>
      </w:r>
    </w:p>
  </w:footnote>
  <w:footnote w:type="continuationSeparator" w:id="0">
    <w:p w14:paraId="504C9A3E" w14:textId="77777777" w:rsidR="00F708E5" w:rsidRDefault="00F708E5" w:rsidP="001D4C6C">
      <w:pPr>
        <w:spacing w:after="0" w:line="240" w:lineRule="auto"/>
      </w:pPr>
      <w:r>
        <w:continuationSeparator/>
      </w:r>
    </w:p>
  </w:footnote>
  <w:footnote w:id="1">
    <w:p w14:paraId="7EE01E4D" w14:textId="77777777" w:rsidR="001D4C6C" w:rsidRPr="001D4C6C" w:rsidRDefault="001D4C6C" w:rsidP="001D4C6C">
      <w:pPr>
        <w:pStyle w:val="Textonotapie"/>
        <w:jc w:val="both"/>
        <w:rPr>
          <w:rFonts w:ascii="Arial" w:hAnsi="Arial" w:cs="Arial"/>
          <w:sz w:val="12"/>
          <w:szCs w:val="14"/>
        </w:rPr>
      </w:pPr>
      <w:r w:rsidRPr="001D4C6C">
        <w:rPr>
          <w:rStyle w:val="Refdenotaalpie"/>
          <w:rFonts w:ascii="Arial" w:hAnsi="Arial" w:cs="Arial"/>
          <w:sz w:val="12"/>
          <w:szCs w:val="12"/>
        </w:rPr>
        <w:footnoteRef/>
      </w:r>
      <w:r w:rsidRPr="001D4C6C">
        <w:rPr>
          <w:rFonts w:ascii="Arial" w:hAnsi="Arial" w:cs="Arial"/>
          <w:sz w:val="12"/>
          <w:szCs w:val="12"/>
        </w:rPr>
        <w:t xml:space="preserve"> </w:t>
      </w:r>
      <w:r w:rsidRPr="001D4C6C">
        <w:rPr>
          <w:rFonts w:ascii="Arial" w:hAnsi="Arial" w:cs="Arial"/>
          <w:sz w:val="12"/>
          <w:szCs w:val="14"/>
        </w:rPr>
        <w:t>Artículo 24. TODO ACUERDO O RESOLUCIÓN DEBE PUBLICARSE DENTRO DE LOS TRES DÍAS SIGUIENTES AL DE SU PRONUNCIAMIENTO EN LA “LISTA” QUE SE PUBLICARÁ EN LOS ESTRADOS DE CADA SALA Y EN LA PÁGINA DE INTERNET DEL TRIBUNAL DE JUSTICIA ADMINISTRATIVA. CON RELACIÓN AL DECRETO TRES MIL CUATROCIENTOS CUARENTA Y OCH, POR EL CUAL SE REFORMAN Y ADICIONAN DIVERSAS DISPOSICIONES DE LA LEY ORGANICA DEL TRIBUNAL DE JUSTICIA ADMINISTRATIVA DEL ESTADO DE MORELOS Y DE LA LEY DE JUSTICIA ADMINISTRATIVA DEL ESTADO DE MORELOS, PUBLICADO EN EL PERIÓDICO OFICIAL “TIERRA Y LIBERTAD” NÚMERO 5629 DE FECHA TREINTA Y UNO DE AGOSTO DE DOS MIL DIECIOCHO.</w:t>
      </w:r>
    </w:p>
  </w:footnote>
  <w:footnote w:id="2">
    <w:p w14:paraId="76F76ADA" w14:textId="77777777" w:rsidR="001D4C6C" w:rsidRPr="001D4C6C" w:rsidRDefault="001D4C6C" w:rsidP="001D4C6C">
      <w:pPr>
        <w:pStyle w:val="Default"/>
        <w:jc w:val="both"/>
        <w:rPr>
          <w:sz w:val="12"/>
          <w:szCs w:val="14"/>
        </w:rPr>
      </w:pPr>
      <w:r w:rsidRPr="001D4C6C">
        <w:rPr>
          <w:rStyle w:val="Refdenotaalpie"/>
          <w:sz w:val="12"/>
          <w:szCs w:val="14"/>
        </w:rPr>
        <w:footnoteRef/>
      </w:r>
      <w:r w:rsidRPr="001D4C6C">
        <w:rPr>
          <w:sz w:val="12"/>
          <w:szCs w:val="14"/>
        </w:rPr>
        <w:t xml:space="preserve"> </w:t>
      </w:r>
      <w:r w:rsidRPr="001D4C6C">
        <w:rPr>
          <w:b/>
          <w:bCs/>
          <w:sz w:val="12"/>
          <w:szCs w:val="14"/>
        </w:rPr>
        <w:t xml:space="preserve">ARTÍCULO 66. </w:t>
      </w:r>
      <w:r w:rsidRPr="001D4C6C">
        <w:rPr>
          <w:sz w:val="12"/>
          <w:szCs w:val="14"/>
        </w:rPr>
        <w:t xml:space="preserve">La lista de autos y resoluciones dictados por un Magistrado o Sala, se publicará en el Boletín Jurisdiccional. </w:t>
      </w:r>
    </w:p>
    <w:p w14:paraId="0CCB2935" w14:textId="77777777" w:rsidR="001D4C6C" w:rsidRPr="001D4C6C" w:rsidRDefault="001D4C6C" w:rsidP="001D4C6C">
      <w:pPr>
        <w:pStyle w:val="Default"/>
        <w:jc w:val="both"/>
        <w:rPr>
          <w:sz w:val="12"/>
          <w:szCs w:val="14"/>
        </w:rPr>
      </w:pPr>
      <w:r w:rsidRPr="001D4C6C">
        <w:rPr>
          <w:sz w:val="12"/>
          <w:szCs w:val="14"/>
        </w:rPr>
        <w:t xml:space="preserve">En el Boletín Jurisdiccional deberá indicarse la denominación de la Sala y ponencia del Magistrado que corresponda, el número de expediente, la identificación de las autoridades a notificar y, en términos de la normatividad aplicable en materia de protección de datos personales, en su caso, el nombre del particular; así como una síntesis del auto, resolución o sentencia. El Boletín Jurisdiccional podrá consultarse en la página electrónica del Tribunal o en los módulos ubicados en la Sala en que estén radicados los juicios. </w:t>
      </w:r>
    </w:p>
    <w:p w14:paraId="68F87B0B" w14:textId="77777777" w:rsidR="001D4C6C" w:rsidRPr="001D4C6C" w:rsidRDefault="001D4C6C" w:rsidP="001D4C6C">
      <w:pPr>
        <w:pStyle w:val="Textonotapie"/>
        <w:jc w:val="both"/>
        <w:rPr>
          <w:rFonts w:ascii="Arial" w:hAnsi="Arial" w:cs="Arial"/>
          <w:sz w:val="12"/>
          <w:szCs w:val="14"/>
        </w:rPr>
      </w:pPr>
      <w:r w:rsidRPr="001D4C6C">
        <w:rPr>
          <w:rFonts w:ascii="Arial" w:hAnsi="Arial" w:cs="Arial"/>
          <w:sz w:val="12"/>
          <w:szCs w:val="14"/>
        </w:rPr>
        <w:t>La Junta de Gobierno y Administración, mediante lineamientos, establecerá el contenido de la síntesis del auto, resolución o sentencia, así como las áreas, dentro del Tribunal, en las cuales serán entregados los traslados de ley; y en su caso, los mecanismos que permitan a las partes conocer el auto, resolución o sentencia correspondiente.</w:t>
      </w:r>
    </w:p>
  </w:footnote>
  <w:footnote w:id="3">
    <w:p w14:paraId="1F9535F5" w14:textId="77777777" w:rsidR="001D4C6C" w:rsidRPr="001D4C6C" w:rsidRDefault="001D4C6C" w:rsidP="001D4C6C">
      <w:pPr>
        <w:pStyle w:val="Default"/>
        <w:jc w:val="both"/>
        <w:rPr>
          <w:sz w:val="12"/>
          <w:szCs w:val="14"/>
        </w:rPr>
      </w:pPr>
      <w:r w:rsidRPr="001D4C6C">
        <w:rPr>
          <w:rStyle w:val="Refdenotaalpie"/>
          <w:sz w:val="12"/>
          <w:szCs w:val="14"/>
        </w:rPr>
        <w:footnoteRef/>
      </w:r>
      <w:r w:rsidRPr="001D4C6C">
        <w:rPr>
          <w:sz w:val="12"/>
          <w:szCs w:val="14"/>
        </w:rPr>
        <w:t xml:space="preserve"> </w:t>
      </w:r>
      <w:r w:rsidRPr="001D4C6C">
        <w:rPr>
          <w:b/>
          <w:bCs/>
          <w:sz w:val="12"/>
          <w:szCs w:val="14"/>
        </w:rPr>
        <w:t xml:space="preserve">ARTÍCULO 67. </w:t>
      </w:r>
      <w:r w:rsidRPr="001D4C6C">
        <w:rPr>
          <w:sz w:val="12"/>
          <w:szCs w:val="14"/>
        </w:rPr>
        <w:t xml:space="preserve">Las notificaciones únicamente deberán realizarse personalmente, o por correo certificado con acuse de recibo, cuando se trate de las resoluciones siguientes: </w:t>
      </w:r>
    </w:p>
    <w:p w14:paraId="3A43AD21" w14:textId="77777777" w:rsidR="001D4C6C" w:rsidRPr="001D4C6C" w:rsidRDefault="001D4C6C" w:rsidP="001D4C6C">
      <w:pPr>
        <w:pStyle w:val="Default"/>
        <w:jc w:val="both"/>
        <w:rPr>
          <w:sz w:val="12"/>
          <w:szCs w:val="14"/>
        </w:rPr>
      </w:pPr>
      <w:r w:rsidRPr="001D4C6C">
        <w:rPr>
          <w:b/>
          <w:bCs/>
          <w:sz w:val="12"/>
          <w:szCs w:val="14"/>
        </w:rPr>
        <w:t xml:space="preserve">I. </w:t>
      </w:r>
      <w:r w:rsidRPr="001D4C6C">
        <w:rPr>
          <w:sz w:val="12"/>
          <w:szCs w:val="14"/>
        </w:rPr>
        <w:t xml:space="preserve">La que corra traslado de la demanda, en el caso del tercero, así como el emplazamiento al particular en el juicio de lesividad a que se refiere el artículo 13, fracción III de esta Ley; </w:t>
      </w:r>
    </w:p>
    <w:p w14:paraId="51559C82" w14:textId="77777777" w:rsidR="001D4C6C" w:rsidRPr="001D4C6C" w:rsidRDefault="001D4C6C" w:rsidP="001D4C6C">
      <w:pPr>
        <w:pStyle w:val="Default"/>
        <w:jc w:val="both"/>
        <w:rPr>
          <w:sz w:val="12"/>
          <w:szCs w:val="14"/>
        </w:rPr>
      </w:pPr>
      <w:r w:rsidRPr="001D4C6C">
        <w:rPr>
          <w:b/>
          <w:bCs/>
          <w:sz w:val="12"/>
          <w:szCs w:val="14"/>
        </w:rPr>
        <w:t xml:space="preserve">II. </w:t>
      </w:r>
      <w:r w:rsidRPr="001D4C6C">
        <w:rPr>
          <w:sz w:val="12"/>
          <w:szCs w:val="14"/>
        </w:rPr>
        <w:t xml:space="preserve">La que mande citar al testigo que no pueda ser presentado por la parte oferente. </w:t>
      </w:r>
    </w:p>
    <w:p w14:paraId="5C62190B" w14:textId="77777777" w:rsidR="001D4C6C" w:rsidRPr="001D4C6C" w:rsidRDefault="001D4C6C" w:rsidP="001D4C6C">
      <w:pPr>
        <w:pStyle w:val="Default"/>
        <w:jc w:val="both"/>
        <w:rPr>
          <w:sz w:val="12"/>
          <w:szCs w:val="14"/>
        </w:rPr>
      </w:pPr>
      <w:r w:rsidRPr="001D4C6C">
        <w:rPr>
          <w:b/>
          <w:bCs/>
          <w:sz w:val="12"/>
          <w:szCs w:val="14"/>
        </w:rPr>
        <w:t xml:space="preserve">III. </w:t>
      </w:r>
      <w:r w:rsidRPr="001D4C6C">
        <w:rPr>
          <w:sz w:val="12"/>
          <w:szCs w:val="14"/>
        </w:rPr>
        <w:t xml:space="preserve">Se deroga. </w:t>
      </w:r>
    </w:p>
    <w:p w14:paraId="3A679177" w14:textId="77777777" w:rsidR="001D4C6C" w:rsidRPr="001D4C6C" w:rsidRDefault="001D4C6C" w:rsidP="001D4C6C">
      <w:pPr>
        <w:pStyle w:val="Textonotapie"/>
        <w:jc w:val="both"/>
        <w:rPr>
          <w:rFonts w:ascii="Arial" w:hAnsi="Arial" w:cs="Arial"/>
          <w:sz w:val="12"/>
          <w:szCs w:val="14"/>
        </w:rPr>
      </w:pPr>
      <w:r w:rsidRPr="001D4C6C">
        <w:rPr>
          <w:rFonts w:ascii="Arial" w:hAnsi="Arial" w:cs="Arial"/>
          <w:b/>
          <w:bCs/>
          <w:sz w:val="12"/>
          <w:szCs w:val="14"/>
        </w:rPr>
        <w:t xml:space="preserve">IV. </w:t>
      </w:r>
      <w:r w:rsidRPr="001D4C6C">
        <w:rPr>
          <w:rFonts w:ascii="Arial" w:hAnsi="Arial" w:cs="Arial"/>
          <w:sz w:val="12"/>
          <w:szCs w:val="14"/>
        </w:rPr>
        <w:t>Se deroga.</w:t>
      </w:r>
    </w:p>
    <w:p w14:paraId="32444D3C" w14:textId="77777777" w:rsidR="001D4C6C" w:rsidRPr="001D4C6C" w:rsidRDefault="001D4C6C" w:rsidP="001D4C6C">
      <w:pPr>
        <w:pStyle w:val="Textonotapie"/>
        <w:jc w:val="both"/>
        <w:rPr>
          <w:rFonts w:ascii="Arial" w:hAnsi="Arial" w:cs="Arial"/>
          <w:sz w:val="12"/>
          <w:szCs w:val="14"/>
        </w:rPr>
      </w:pPr>
      <w:r w:rsidRPr="001D4C6C">
        <w:rPr>
          <w:rFonts w:ascii="Arial" w:hAnsi="Arial" w:cs="Arial"/>
          <w:sz w:val="12"/>
          <w:szCs w:val="14"/>
        </w:rPr>
        <w:t>En los demás casos, las notificaciones deberán realizarse por medio del Boletín Jurisdiccional.</w:t>
      </w:r>
    </w:p>
    <w:p w14:paraId="0153C9D2" w14:textId="77777777" w:rsidR="001D4C6C" w:rsidRPr="001D4C6C" w:rsidRDefault="001D4C6C" w:rsidP="001D4C6C">
      <w:pPr>
        <w:pStyle w:val="Textonotapie"/>
        <w:jc w:val="both"/>
        <w:rPr>
          <w:rFonts w:ascii="Arial" w:hAnsi="Arial" w:cs="Arial"/>
          <w:sz w:val="12"/>
          <w:szCs w:val="14"/>
        </w:rPr>
      </w:pPr>
      <w:r w:rsidRPr="001D4C6C">
        <w:rPr>
          <w:rFonts w:ascii="Arial" w:hAnsi="Arial" w:cs="Arial"/>
          <w:sz w:val="12"/>
          <w:szCs w:val="14"/>
        </w:rPr>
        <w:t>Para los efectos señalados en las fracciones anteriores, una vez que las partes y el testigo se apersonen en el juicio, y el perito haya comparecido para aceptar y protestar el cargo, deberán señalar dirección de correo electrónico, bajo el apercibimiento que, de no hacerlo, se procederá en los términos del artículo 14, último párrafo, de la presente Ley.</w:t>
      </w:r>
    </w:p>
    <w:p w14:paraId="06723AA9" w14:textId="77777777" w:rsidR="001D4C6C" w:rsidRDefault="001D4C6C" w:rsidP="001D4C6C">
      <w:pPr>
        <w:pStyle w:val="Textonotapie"/>
        <w:jc w:val="both"/>
        <w:rPr>
          <w:rFonts w:ascii="Arial" w:hAnsi="Arial" w:cs="Arial"/>
          <w:sz w:val="6"/>
          <w:szCs w:val="1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85FB" w14:textId="77777777" w:rsidR="00000000" w:rsidRDefault="00EF2FB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85F8FC9" wp14:editId="651C045C">
          <wp:simplePos x="0" y="0"/>
          <wp:positionH relativeFrom="column">
            <wp:posOffset>-647700</wp:posOffset>
          </wp:positionH>
          <wp:positionV relativeFrom="paragraph">
            <wp:posOffset>-57785</wp:posOffset>
          </wp:positionV>
          <wp:extent cx="1724025" cy="135953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B3B1EB" w14:textId="77777777" w:rsidR="00000000" w:rsidRDefault="00000000">
    <w:pPr>
      <w:pStyle w:val="Encabezado"/>
    </w:pPr>
  </w:p>
  <w:p w14:paraId="3ABD7181" w14:textId="77777777" w:rsidR="00000000" w:rsidRDefault="00000000">
    <w:pPr>
      <w:pStyle w:val="Encabezado"/>
    </w:pPr>
  </w:p>
  <w:p w14:paraId="10B83E07" w14:textId="77777777" w:rsidR="00000000" w:rsidRDefault="00000000">
    <w:pPr>
      <w:pStyle w:val="Encabezado"/>
    </w:pPr>
  </w:p>
  <w:p w14:paraId="0730560F" w14:textId="77777777" w:rsidR="00000000" w:rsidRDefault="00000000">
    <w:pPr>
      <w:pStyle w:val="Encabezado"/>
    </w:pPr>
  </w:p>
  <w:p w14:paraId="646223D0" w14:textId="77777777" w:rsidR="00000000" w:rsidRDefault="00000000">
    <w:pPr>
      <w:pStyle w:val="Encabezado"/>
    </w:pPr>
  </w:p>
  <w:p w14:paraId="2404BC67" w14:textId="77777777" w:rsidR="00000000" w:rsidRDefault="00000000">
    <w:pPr>
      <w:pStyle w:val="Encabezado"/>
    </w:pPr>
  </w:p>
  <w:p w14:paraId="64BC8D17" w14:textId="77777777"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6C"/>
    <w:rsid w:val="001D4C6C"/>
    <w:rsid w:val="003D5979"/>
    <w:rsid w:val="006B38EC"/>
    <w:rsid w:val="006F11DE"/>
    <w:rsid w:val="00A02577"/>
    <w:rsid w:val="00A36021"/>
    <w:rsid w:val="00AB6400"/>
    <w:rsid w:val="00EF2FB8"/>
    <w:rsid w:val="00F7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B860"/>
  <w15:chartTrackingRefBased/>
  <w15:docId w15:val="{2227E846-A659-4064-823A-ED3DB354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D4C6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4C6C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1D4C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notaalpie">
    <w:name w:val="footnote reference"/>
    <w:basedOn w:val="Fuentedeprrafopredeter"/>
    <w:uiPriority w:val="99"/>
    <w:semiHidden/>
    <w:unhideWhenUsed/>
    <w:rsid w:val="001D4C6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D4C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C6C"/>
  </w:style>
  <w:style w:type="paragraph" w:styleId="Textodeglobo">
    <w:name w:val="Balloon Text"/>
    <w:basedOn w:val="Normal"/>
    <w:link w:val="TextodegloboCar"/>
    <w:uiPriority w:val="99"/>
    <w:semiHidden/>
    <w:unhideWhenUsed/>
    <w:rsid w:val="006F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TJAEM 0658</dc:creator>
  <cp:keywords/>
  <dc:description/>
  <cp:lastModifiedBy>TJAEM 0010</cp:lastModifiedBy>
  <cp:revision>2</cp:revision>
  <cp:lastPrinted>2025-08-28T14:50:00Z</cp:lastPrinted>
  <dcterms:created xsi:type="dcterms:W3CDTF">2025-08-28T15:22:00Z</dcterms:created>
  <dcterms:modified xsi:type="dcterms:W3CDTF">2025-08-28T15:22:00Z</dcterms:modified>
</cp:coreProperties>
</file>